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134" w:before="134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verdana" w:hAnsi="verdana"/>
          <w:b w:val="1"/>
          <w:i w:val="0"/>
          <w:caps w:val="0"/>
          <w:color w:val="FF0000"/>
          <w:spacing w:val="0"/>
          <w:sz w:val="16"/>
        </w:rPr>
        <w:t>«</w:t>
      </w:r>
      <w:r>
        <w:rPr>
          <w:rFonts w:ascii="Times New Roman" w:hAnsi="Times New Roman"/>
          <w:b w:val="1"/>
          <w:i w:val="0"/>
          <w:caps w:val="0"/>
          <w:color w:val="FF0000"/>
          <w:spacing w:val="0"/>
          <w:sz w:val="28"/>
        </w:rPr>
        <w:t>Безопасность - это такое состояние сложной системы,</w:t>
      </w:r>
    </w:p>
    <w:p w14:paraId="02000000">
      <w:pPr>
        <w:spacing w:after="134" w:before="134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FF0000"/>
          <w:spacing w:val="0"/>
          <w:sz w:val="28"/>
        </w:rPr>
        <w:t>когда действия внешних и внутренних факторов</w:t>
      </w:r>
    </w:p>
    <w:p w14:paraId="03000000">
      <w:pPr>
        <w:spacing w:after="134" w:before="134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FF0000"/>
          <w:spacing w:val="0"/>
          <w:sz w:val="28"/>
        </w:rPr>
        <w:t>не приводят к ухудшению системы или</w:t>
      </w:r>
    </w:p>
    <w:p w14:paraId="04000000">
      <w:pPr>
        <w:spacing w:after="134" w:before="134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FF0000"/>
          <w:spacing w:val="0"/>
          <w:sz w:val="28"/>
        </w:rPr>
        <w:t>к  невозможности ее функционирования и развития»</w:t>
      </w:r>
    </w:p>
    <w:p w14:paraId="05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Выполнение требований безопасности в образовательном учреждении пронизывает школьную жизнь, наполняя своим содержанием все виды учебной и внеклассной деятельности обучающихся.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        Задача администрации школы заключается в создании условий,  при которых  не нарушались бы основные нормы безопасности (антитеррористические, противопожарные,  охранные и другие), обеспечивалось выполнение распорядительных документов по организации охраны, соблюдению пропускного и внутриобъектового режимов работы.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        Комплексная безопасность образовательного учреждения включает в себя проведение необходимых мероприятий, которые направлены на разработку и обновление имеющихся нормативных документов по антитеррористической, пожарной и электробезопасности, по вопросам гражданской обороны, охраны труда, правил дорожного движения.</w:t>
      </w:r>
    </w:p>
    <w:p w14:paraId="06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16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16"/>
        </w:rPr>
        <w:t> </w:t>
      </w:r>
    </w:p>
    <w:p w14:paraId="07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16"/>
        </w:rPr>
      </w:pP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begin"/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instrText>HYPERLINK "http://atk26.ru/"</w:instrText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separate"/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t>Сайт антитеррористической комиссии Ставропольского края</w:t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end"/>
      </w:r>
    </w:p>
    <w:p w14:paraId="08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16"/>
        </w:rPr>
      </w:pP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begin"/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instrText>HYPERLINK "http://nac.gov.ru/"</w:instrText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separate"/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t>Портал Национального антитеррористического комитета</w:t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end"/>
      </w:r>
    </w:p>
    <w:p w14:paraId="09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16"/>
        </w:rPr>
      </w:pP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begin"/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instrText>HYPERLINK "http://scienceport.ru/"</w:instrText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separate"/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t>Сайт  "Наука и образование против террора"</w:t>
      </w:r>
      <w:r>
        <w:rPr>
          <w:rFonts w:ascii="Georgia" w:hAnsi="Georgia"/>
          <w:b w:val="0"/>
          <w:i w:val="0"/>
          <w:caps w:val="0"/>
          <w:color w:val="0069A9"/>
          <w:spacing w:val="0"/>
          <w:sz w:val="24"/>
          <w:u w:color="000000" w:val="single"/>
        </w:rPr>
        <w:fldChar w:fldCharType="end"/>
      </w:r>
    </w:p>
    <w:p w14:paraId="0A000000">
      <w:pPr>
        <w:spacing w:after="120" w:before="120"/>
        <w:ind w:hanging="120" w:left="120" w:right="12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Georgia" w:hAnsi="Georgia"/>
          <w:b w:val="0"/>
          <w:i w:val="0"/>
          <w:caps w:val="0"/>
          <w:color w:val="0069A9"/>
          <w:spacing w:val="0"/>
          <w:sz w:val="18"/>
          <w:u w:color="000000" w:val="single"/>
        </w:rPr>
        <w:t xml:space="preserve">МЕТОДИЧЕСКИЕ РЕКОМЕНДАЦИИ о содержании антитеррористических материалов, размещаемых в сети Интернет, средствах массовой 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информации и на других информационных ресурсах</w:t>
      </w:r>
    </w:p>
    <w:p w14:paraId="0B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0C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0D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0E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0F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0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1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2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3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4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Нормативные документы</w:t>
      </w:r>
    </w:p>
    <w:p w14:paraId="15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 по организации антитеррористической работы в образовательном учреждении</w:t>
      </w:r>
    </w:p>
    <w:p w14:paraId="16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1. Приказ об организации охраны, пропускного и внутри объектового режимов работы в зданиях и на территории 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2. 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деятельности.  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3. План профилактической работы по предотвращению террористических актов 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4. Инструкция по действиям при обнаружении предмета, похожего на взрывное устройство 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5. Рекомендуемые зоны эвакуации оцепления при обнаружении взрывного устройства или подозрительного предмета, который может оказаться взрывным устройством.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6. Инструкция по действиям при поступлении угрозы террористического акта по телефону.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7. Инструкция по действиям при поступлении угрозы террористического акта в письменном виде 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8. Инструкция по действиям при захвате террористами заложников 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9. Инструкция по действиям постоянного состава и обучающихся в условиях возможного биологического заражения..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10. На посту охраны иметь: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Рекомендации должностному лицу по предотвращению террористических актов.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Рекомендации должностному лицу при получении угрозы о взрыве 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Рекомендации должностному лицу при обнаружении предмета, похожего на взрывоопасный.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- Инструкция по ведению телефонного разговора при угрозе взрыва 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Контрольный лист наблюдений при угрозе по телефону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Функциональные обязанности.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Образец предписания на право проверки.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Опись имущества поста.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Список автотранспорта на право въезда на территорию (стоянка автотранспорта не ближе 50 м от здания).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Образцы пропусков на вход в здание.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  Инструкция о действиях при возникновении чрезвычайных ситуаций в образовательном учреждении (пожаре, землетрясении, наводнении, урагане, снежных заносах и т.д.).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Наставление по оказанию первой медицинской помощи.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Журнал обхода зданий образовательного учреждения.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Схема обхода зданий образовательного учреждения.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Журнал приема и сдачи дежурства.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15. Паспорт безопасности.</w:t>
      </w:r>
    </w:p>
    <w:p w14:paraId="17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"http://orlovka10-ck.ucoz.ru/GO_i_CHS/pamjatka.doc"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Памятка гражданам по действиям при установлении уровней террористической опасности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18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"http://orlovka10-ck.ucoz.ru/Dok/prikaz_po_bezopasnosti_2013g-nojabr.doc"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Приказ "О проведении месячника безопасности"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19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"http://orlovka10-ck.ucoz.ru/Dok/plan_po_bezopasnosti2013g..doc"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План проведения месячника безопасности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1A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"http://orlovka10-ck.ucoz.ru/GO_i_CHS/perechen_terrorizm.doc"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Перечень источников по вопросам профилактики терроризма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1B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 связи с чрезвычайными обстоятельствами дополнительные меры безопасности:</w:t>
      </w:r>
    </w:p>
    <w:p w14:paraId="1C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-еженедельный осмотр эвакуационных путей, состояния чердачного помещения, средств пожаротушения;</w:t>
      </w:r>
    </w:p>
    <w:p w14:paraId="1D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проводить ежедневно, несколько раз в течение дня, осмотр зданий и прилегающей территории на предмет обнаружения бесхозных вещей и предметов;</w:t>
      </w:r>
    </w:p>
    <w:p w14:paraId="1E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отработать варианты действий руководителей учреждений, технического персонала при возникновении чрезвычайных ситуаций;</w:t>
      </w:r>
    </w:p>
    <w:p w14:paraId="1F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-усилить меры безопасности, усилить пропускной режим, вести учет посещения посторонних лиц с записью в журнале регистраций посещений,</w:t>
      </w:r>
    </w:p>
    <w:p w14:paraId="20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осуществлять регулярные обходы территорий;</w:t>
      </w:r>
    </w:p>
    <w:p w14:paraId="21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-не допускать парковку постороннего автотранспорта вблизи образовательных учреждений;</w:t>
      </w:r>
    </w:p>
    <w:p w14:paraId="22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незамедлительно сообщать обо всех подозрительных предметах и гражданах по телефону -112 (Единая дежурная диспетчерская служба) или 02, 020 (дежурная часть).</w:t>
      </w:r>
    </w:p>
    <w:p w14:paraId="23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4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5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6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7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8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9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A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B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Информация о проведении мероприятий в рамках Дня солидарности в борьбе с терроризмом в МБОУ СОШ № 4 в 2019-2020 учебном году</w:t>
      </w:r>
    </w:p>
    <w:p w14:paraId="2C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</w:p>
    <w:p w14:paraId="2D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2E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ГО и ЧС</w:t>
      </w:r>
    </w:p>
    <w:p w14:paraId="2F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"http://orlovka10-ck.ucoz.ru/GO_i_CHS/polozhenie_o_komissii_po_chs.doc"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Положение о штабе по делам ГО и ЧС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30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"http://orlovka10-ck.ucoz.ru/GO_i_CHS/polozhenie_o_komissii_po_chs.doc"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Положение о комиссии по ЧС и обеспечению пожарной безопасности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31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"http://orlovka10-ck.ucoz.ru/GO_i_CHS/polozhenie_ob_zvene_2014.doc"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Положение об объектовом звене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32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3 сентября в России отмечается скорбная дата - День солидарности в борьбе с терроризмом.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Эта самая новая памятная дата России, установленная федеральным законом «О днях воинской славы России» от 6 июля 2005 года...</w:t>
      </w:r>
    </w:p>
    <w:p w14:paraId="33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За последние десятилетия от рук террористов погибло значительное количество людей, как и чума, террор не щадит ни взрослых, ни детей, причем все это делается целенаправленно, жестоко и беспощадно. День солидарности в борьбе с терроризмом символизирует единение государства и общества в борьбе с таким страшным явлением, как терроризм. В этот день Россия отдает дань памяти 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 в Москве, Буйнакске и Волгодонске, в сотнях других террористических актов. </w:t>
      </w:r>
    </w:p>
    <w:p w14:paraId="34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drawing>
          <wp:inline>
            <wp:extent cx="1270000" cy="12700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5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11 лет назад, 1 сентября 2004 года в небольшом городке Беслан ничто не предвещало трагедии. Дети с родителями, не нарушая славной традиции Дня Знаний, пришли в школу на торжественную линейку, во время прохождения которой все и случилось. </w:t>
      </w:r>
    </w:p>
    <w:p w14:paraId="36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Боевиками была захвачена одна из городских школ. В течение двух с половиной дней они удерживали в заминированном здании более тысячи заложников, среди которых были дети, их родители, пришедшие на линейку, и сотрудники образовательного учреждения. Большинство удерживаемых было освобождено в ходе спецоперации, но 334 человека, среди которых было 186 детей, погибли. Более 500 человек было ранено.</w:t>
      </w:r>
    </w:p>
    <w:p w14:paraId="37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Сегодня Россия вспоминает жертв той страшнейшей и бесчеловечной трагедии, произошедшей в небольшом североосетинском городе Беслан. 11 лет прошло с тех пор как для детей школы №1 праздник 1 сентября стал жуткой трагедией, а для многих и последним днем в жизни... Бесланская трагедия - одна из самых скорбных страниц современной истории России. </w:t>
      </w:r>
    </w:p>
    <w:p w14:paraId="38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Сегодня, 3 сентября,  во всех классах нашей школы пройдут классные часы, посвященные одиннадцатой годовщине со дня трагических событий в Беслане. Волнительные рассказы учителей, страшные видеокадры событий в Беслане, запечатлевшие ужас в глазах заложников, безысходность их родных и близких – все это должно донести до школьников информацию о недопустимости терроризма в нашей жизни, о необходимости торжества любви, добра и человечности на земле.</w:t>
      </w:r>
    </w:p>
    <w:p w14:paraId="39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Информация о проведении Дня солидарности в борьбе с терроризмом в 2015 году</w:t>
      </w:r>
    </w:p>
    <w:p w14:paraId="3A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2 октября - Всероссийский урок по основам безопасности жизнедеятельности</w:t>
      </w:r>
    </w:p>
    <w:p w14:paraId="3B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Согласно  письма Министерство образования и молодежной политики Ставропольского края  № 10087/01-72 от 11.09.2015 г. «О проведении Всероссийского урока по основам безопасности жизнедеятельности»  в МБОУ СОШ № 4 были проведены следующие мероприятия:</w:t>
      </w:r>
    </w:p>
    <w:p w14:paraId="3C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1.Занятия по тематике действий в чрезвычайных ситуациях:  </w:t>
      </w:r>
    </w:p>
    <w:p w14:paraId="3D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 -   занятия  по основам безопасности жизнедеятельности с учащимися 1-4 классов  в форме  викторины «Условия безопасного поведения учащихся».</w:t>
      </w:r>
    </w:p>
    <w:p w14:paraId="3E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   классные часы в 5-7 классах  по теме: «Правила поведения при пожаре»</w:t>
      </w:r>
    </w:p>
    <w:p w14:paraId="3F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-   на уроках ОБЖ  в 8-11 классах  проведены    беседы по теме: «Безопасность и защита человека в ЧС».   </w:t>
      </w:r>
    </w:p>
    <w:p w14:paraId="40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2. Для  учащихся школы проведена   внеплановая тренировка   по  эвакуации из здания.</w:t>
      </w:r>
    </w:p>
    <w:p w14:paraId="41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3.Активом школьного ученического самоуправления «Бригантина» подведены итоги мероприятий и отражены в школьной ученической телегазете «Шанс» и на сайте школы.</w:t>
      </w:r>
    </w:p>
    <w:p w14:paraId="42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Система оповещения населения России об уровне террористической опасности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Информационный портал молодежи Ставрополья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"https://mail.yandex.ru/re.jsx?h=a,2iAuBcO04Ju-DlBHuIgxtA&amp;l=aHR0cDovL3d3dy5rZG0yNi5ydS9uZXdzL3Npc3RlbWEtb3BvdmVzY2hlbml5YS1uYXNlbGVuaXlhLXJvc3NpaS1vYi11cm92bmUtdGVycm9yaXN0aWNoZXNrb2otb3Bhc25vc3RpLTg5MzYuaHRtbA"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http://www.kdm26.ru/news/sistema-opovescheniya-naseleniya-rossii-ob-urovne-terroristicheskoj-opasnosti-8936.html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Молодежь Ставрополья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"https://mail.yandex.ru/re.jsx?h=a,-gogXoacutNmcCWylvbcQQ&amp;l=aHR0cDovL3ZrLmNvbS9rZG0yNj93PXdhbGwtMTc2MTY0MTBfOTE3MQ"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http://vk.com/kdm26?w=wall-17616410_9171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   Молодежь Ставрополья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instrText>HYPERLINK "https://mail.yandex.ru/re.jsx?h=a,dBg9_kZwvfUn-DwSDSFD1Q&amp;l=aHR0cHM6Ly93d3cueW91dHViZS5jb20vd2F0Y2g_dj1uUExyR0JvNlFaUQ"</w:instrTex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https://www.youtube.com/watch?v=nPLrGBo6QZQ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fldChar w:fldCharType="end"/>
      </w:r>
    </w:p>
    <w:p w14:paraId="43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День гражданской обороны.</w:t>
      </w:r>
    </w:p>
    <w:p w14:paraId="44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Гражданская оборона это одна из важнейших функций государства по обеспечению безопасности граждан и страны в целом. Создана она была 4 октября 1932 года и называлась общесоюзная система противопожарной обороны, а в 1961 году была переименована в гражданскую оборону.</w:t>
      </w:r>
    </w:p>
    <w:p w14:paraId="45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Проведена  тренировка в образовательном учреждении МБОУ СОШ №4 по теме: «Действия руководящего состава, персонала и учащихся по проведению эвакуации и оказанию первой медицинской помощи в случае возникновения пожара».</w:t>
      </w:r>
    </w:p>
    <w:p w14:paraId="46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На тренировку привлекались: руководящий состав, персонал, учащиеся, руководители нештатных аварийно-спасательных формирований МБОУ СОШ №4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.</w:t>
      </w:r>
    </w:p>
    <w:p w14:paraId="47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Персонал и учащиеся, в целом, справился с поставленной задачей. Эвакуация персонала и учащихся проведена организованно в ранее определённое безопасное место.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 ходе тренировки личный состав действовал организованно, слаженно и получил практические навыки по действиям при возникновении пожара.</w:t>
      </w:r>
    </w:p>
    <w:p w14:paraId="48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Также с персоналом и учащимися проведен инструктаж по соблюдению правил поведения на водных объектах в преддверии начала купального сезона и поведению при обнаружении подозрительного предмета.</w:t>
      </w:r>
    </w:p>
    <w:p w14:paraId="49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</w:p>
    <w:p w14:paraId="4A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4B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4C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4D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4E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4F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0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1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2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3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4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5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6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57000000">
      <w:pPr>
        <w:spacing w:after="134" w:before="134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1"/>
          <w:i w:val="0"/>
          <w:caps w:val="0"/>
          <w:color w:val="000000"/>
          <w:spacing w:val="0"/>
          <w:sz w:val="28"/>
        </w:rPr>
        <w:t>1 марта 2019 года Всемирный день гражданской обороны.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</w:tblPr>
      <w:tblGrid>
        <w:gridCol w:w="8312"/>
      </w:tblGrid>
      <w:tr>
        <w:tc>
          <w:tcPr>
            <w:tcW w:type="dxa" w:w="8312"/>
          </w:tcPr>
          <w:p w14:paraId="58000000">
            <w:pPr>
              <w:spacing w:after="134" w:before="134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Ежегодноо 1 марта отмечается Всемирный день гражданской обороны (World Civil Defence Day). В 1931 году по инициативе нескольких государств французский генерал медицинской службы Жорж Сен-Поль основал в Париже «Ассоциацию Женевских зон» — «зон безопасности» для создания посредством двухсторонних и многосторонних соглашений локальных зон безопасности во всех странах.</w:t>
            </w:r>
          </w:p>
          <w:p w14:paraId="59000000">
            <w:pPr>
              <w:spacing w:after="134" w:before="134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Впоследствии Ассоциация была преобразована в Международную организацию гражданской обороны (International Civil Defence Organisation, ICDO; русск. — МОГО). В 1972 году МОГО получила статус межправительственной организации. В настоящее время в МОГО входят 50 стран, еще 16 государств имеют статус наблюдателя.</w:t>
            </w:r>
          </w:p>
          <w:p w14:paraId="5A000000">
            <w:pPr>
              <w:spacing w:after="134" w:before="134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Всемирный день гражданской обороны, установленный в 1990 году, отмечается в странах — членах МОГО —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 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с целью пропаганды знаний о гражданской обороне и поднятия престижа национальных служб спасения.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 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День 1 марта выбран не случайно. Именно в этот день вступил в силу Устав МОГО, который одобрили 18 государств.</w:t>
            </w:r>
          </w:p>
          <w:p w14:paraId="5B000000">
            <w:pPr>
              <w:spacing w:after="134" w:before="134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</w:t>
            </w:r>
          </w:p>
        </w:tc>
      </w:tr>
    </w:tbl>
    <w:p w14:paraId="5C000000">
      <w:pPr>
        <w:pStyle w:val="Style_1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1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br/>
      </w:r>
    </w:p>
    <w:sectPr>
      <w:pgSz w:h="16838" w:w="11906"/>
      <w:pgMar w:bottom="1134" w:left="1701" w:right="850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