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49"/>
        <w:gridCol w:w="6"/>
      </w:tblGrid>
      <w:tr w:rsidR="00FD1EEC" w:rsidRPr="00FD1EEC" w:rsidTr="00FD1EEC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FD1EEC" w:rsidRPr="00FD1EEC" w:rsidRDefault="00FD1EEC" w:rsidP="00FD1EEC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FD1EEC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Воспитательная работа</w:t>
            </w:r>
          </w:p>
        </w:tc>
      </w:tr>
      <w:tr w:rsidR="00FD1EEC" w:rsidRPr="00FD1EEC" w:rsidTr="00FD1EEC">
        <w:trPr>
          <w:tblCellSpacing w:w="0" w:type="dxa"/>
        </w:trPr>
        <w:tc>
          <w:tcPr>
            <w:tcW w:w="0" w:type="auto"/>
            <w:vAlign w:val="center"/>
            <w:hideMark/>
          </w:tcPr>
          <w:p w:rsidR="00FD1EEC" w:rsidRPr="00FD1EEC" w:rsidRDefault="00FD1EEC" w:rsidP="00FD1E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" w:tgtFrame="_blank" w:history="1">
              <w:r w:rsidRPr="00FD1EE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 xml:space="preserve">О МЕРАХ ПО ВЫЯВЛЕНИЮ НЕЗАКОННОГО ПОТРЕБЛЕНИЯ НАРКОТИЧЕСКИХ  </w:t>
              </w:r>
            </w:hyperlink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tgtFrame="_blank" w:history="1">
              <w:r w:rsidRPr="00FD1EE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план тестирования</w:t>
              </w:r>
            </w:hyperlink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EEC">
              <w:rPr>
                <w:rFonts w:ascii="Arial" w:eastAsia="Times New Roman" w:hAnsi="Arial" w:cs="Arial"/>
                <w:sz w:val="20"/>
                <w:szCs w:val="20"/>
              </w:rPr>
              <w:t xml:space="preserve">администрация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школы</w:t>
            </w:r>
            <w:r w:rsidRPr="00FD1EEC">
              <w:rPr>
                <w:rFonts w:ascii="Arial" w:eastAsia="Times New Roman" w:hAnsi="Arial" w:cs="Arial"/>
                <w:sz w:val="20"/>
                <w:szCs w:val="20"/>
              </w:rPr>
              <w:t xml:space="preserve"> информирует о создании по заказу аппарата антитеррористической комиссии Ставропольского края трех видеороликов по профилактике идеологии терроризма.</w:t>
            </w:r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EEC">
              <w:rPr>
                <w:rFonts w:ascii="Arial" w:eastAsia="Times New Roman" w:hAnsi="Arial" w:cs="Arial"/>
                <w:sz w:val="26"/>
                <w:szCs w:val="26"/>
              </w:rPr>
              <w:t xml:space="preserve">Данные видеоролики размещены в облачном хранилище файлов </w:t>
            </w:r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mail</w:t>
            </w:r>
            <w:r w:rsidRPr="00FD1EEC">
              <w:rPr>
                <w:rFonts w:ascii="Arial" w:eastAsia="Times New Roman" w:hAnsi="Arial" w:cs="Arial"/>
                <w:sz w:val="26"/>
                <w:szCs w:val="26"/>
              </w:rPr>
              <w:t>.</w:t>
            </w:r>
            <w:proofErr w:type="spellStart"/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ru</w:t>
            </w:r>
            <w:proofErr w:type="spellEnd"/>
            <w:r w:rsidRPr="00FD1EEC">
              <w:rPr>
                <w:rFonts w:ascii="Arial" w:eastAsia="Times New Roman" w:hAnsi="Arial" w:cs="Arial"/>
                <w:sz w:val="26"/>
                <w:szCs w:val="26"/>
              </w:rPr>
              <w:t xml:space="preserve">: </w:t>
            </w:r>
            <w:proofErr w:type="spellStart"/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bttps</w:t>
            </w:r>
            <w:proofErr w:type="spellEnd"/>
            <w:r w:rsidRPr="00FD1EEC">
              <w:rPr>
                <w:rFonts w:ascii="Arial" w:eastAsia="Times New Roman" w:hAnsi="Arial" w:cs="Arial"/>
                <w:sz w:val="26"/>
                <w:szCs w:val="26"/>
              </w:rPr>
              <w:t>://</w:t>
            </w:r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cloud</w:t>
            </w:r>
            <w:r w:rsidRPr="00FD1EEC">
              <w:rPr>
                <w:rFonts w:ascii="Arial" w:eastAsia="Times New Roman" w:hAnsi="Arial" w:cs="Arial"/>
                <w:sz w:val="26"/>
                <w:szCs w:val="26"/>
              </w:rPr>
              <w:t>.</w:t>
            </w:r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mail</w:t>
            </w:r>
            <w:r w:rsidRPr="00FD1EEC">
              <w:rPr>
                <w:rFonts w:ascii="Arial" w:eastAsia="Times New Roman" w:hAnsi="Arial" w:cs="Arial"/>
                <w:sz w:val="26"/>
                <w:szCs w:val="26"/>
              </w:rPr>
              <w:t>.</w:t>
            </w:r>
            <w:proofErr w:type="spellStart"/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ru</w:t>
            </w:r>
            <w:proofErr w:type="spellEnd"/>
            <w:r w:rsidRPr="00FD1EEC">
              <w:rPr>
                <w:rFonts w:ascii="Arial" w:eastAsia="Times New Roman" w:hAnsi="Arial" w:cs="Arial"/>
                <w:sz w:val="26"/>
                <w:szCs w:val="26"/>
              </w:rPr>
              <w:t>/</w:t>
            </w:r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public</w:t>
            </w:r>
            <w:r w:rsidRPr="00FD1EEC">
              <w:rPr>
                <w:rFonts w:ascii="Arial" w:eastAsia="Times New Roman" w:hAnsi="Arial" w:cs="Arial"/>
                <w:sz w:val="26"/>
                <w:szCs w:val="26"/>
              </w:rPr>
              <w:t>/</w:t>
            </w:r>
            <w:proofErr w:type="spellStart"/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LVgA</w:t>
            </w:r>
            <w:proofErr w:type="spellEnd"/>
            <w:r w:rsidRPr="00FD1EEC">
              <w:rPr>
                <w:rFonts w:ascii="Arial" w:eastAsia="Times New Roman" w:hAnsi="Arial" w:cs="Arial"/>
                <w:sz w:val="26"/>
                <w:szCs w:val="26"/>
              </w:rPr>
              <w:t>/</w:t>
            </w:r>
            <w:proofErr w:type="spellStart"/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PnpNKg</w:t>
            </w:r>
            <w:proofErr w:type="spellEnd"/>
            <w:r w:rsidRPr="00FD1EEC">
              <w:rPr>
                <w:rFonts w:ascii="Arial" w:eastAsia="Times New Roman" w:hAnsi="Arial" w:cs="Arial"/>
                <w:sz w:val="26"/>
                <w:szCs w:val="26"/>
              </w:rPr>
              <w:t>7</w:t>
            </w:r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f</w:t>
            </w:r>
            <w:r w:rsidRPr="00FD1EEC">
              <w:rPr>
                <w:rFonts w:ascii="Arial" w:eastAsia="Times New Roman" w:hAnsi="Arial" w:cs="Arial"/>
                <w:sz w:val="26"/>
                <w:szCs w:val="26"/>
              </w:rPr>
              <w:t xml:space="preserve">2 </w:t>
            </w:r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 </w:t>
            </w:r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EEC">
              <w:rPr>
                <w:rFonts w:ascii="Arial" w:eastAsia="Times New Roman" w:hAnsi="Arial" w:cs="Arial"/>
                <w:sz w:val="26"/>
                <w:szCs w:val="26"/>
              </w:rPr>
              <w:t xml:space="preserve">а так же на видео </w:t>
            </w:r>
            <w:proofErr w:type="spellStart"/>
            <w:r w:rsidRPr="00FD1EEC">
              <w:rPr>
                <w:rFonts w:ascii="Arial" w:eastAsia="Times New Roman" w:hAnsi="Arial" w:cs="Arial"/>
                <w:sz w:val="26"/>
                <w:szCs w:val="26"/>
              </w:rPr>
              <w:t>хостинге</w:t>
            </w:r>
            <w:proofErr w:type="spellEnd"/>
            <w:r w:rsidRPr="00FD1EEC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Pr="00FD1EEC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YouTube</w:t>
            </w:r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EEC">
              <w:rPr>
                <w:rFonts w:ascii="Arial" w:eastAsia="Times New Roman" w:hAnsi="Arial" w:cs="Arial"/>
                <w:sz w:val="20"/>
                <w:szCs w:val="20"/>
              </w:rPr>
              <w:t>- ролик «Звонок маме»</w:t>
            </w:r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Pr="00FD1EEC">
                <w:rPr>
                  <w:rFonts w:ascii="Arial" w:eastAsia="Times New Roman" w:hAnsi="Arial" w:cs="Arial"/>
                  <w:color w:val="0000FF"/>
                  <w:sz w:val="20"/>
                  <w:u w:val="single"/>
                </w:rPr>
                <w:t>https://www.youtube.com/watch?v=VvqVqiiDCqw</w:t>
              </w:r>
            </w:hyperlink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EEC">
              <w:rPr>
                <w:rFonts w:ascii="Arial" w:eastAsia="Times New Roman" w:hAnsi="Arial" w:cs="Arial"/>
                <w:sz w:val="20"/>
                <w:szCs w:val="20"/>
              </w:rPr>
              <w:t>- ролик «Призраки»</w:t>
            </w:r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https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://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www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.</w:t>
              </w:r>
              <w:proofErr w:type="spellStart"/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youtube</w:t>
              </w:r>
              <w:proofErr w:type="spellEnd"/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.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com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/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watch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?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v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=</w:t>
              </w:r>
              <w:proofErr w:type="spellStart"/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dwKvcXpOFxo</w:t>
              </w:r>
              <w:proofErr w:type="spellEnd"/>
            </w:hyperlink>
            <w:r w:rsidRPr="00FD1EEC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EEC">
              <w:rPr>
                <w:rFonts w:ascii="Arial" w:eastAsia="Times New Roman" w:hAnsi="Arial" w:cs="Arial"/>
                <w:sz w:val="20"/>
                <w:szCs w:val="20"/>
              </w:rPr>
              <w:t>- «Что твое?»</w:t>
            </w:r>
          </w:p>
          <w:p w:rsidR="00FD1EEC" w:rsidRPr="00FD1EEC" w:rsidRDefault="00FD1EEC" w:rsidP="00FD1E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https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://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www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.</w:t>
              </w:r>
              <w:proofErr w:type="spellStart"/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youtube</w:t>
              </w:r>
              <w:proofErr w:type="spellEnd"/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.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com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/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watch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?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v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=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o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9</w:t>
              </w:r>
              <w:proofErr w:type="spellStart"/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TwYchPS</w:t>
              </w:r>
              <w:proofErr w:type="spellEnd"/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</w:rPr>
                <w:t>4</w:t>
              </w:r>
              <w:r w:rsidRPr="00FD1EEC">
                <w:rPr>
                  <w:rFonts w:ascii="Arial" w:eastAsia="Times New Roman" w:hAnsi="Arial" w:cs="Arial"/>
                  <w:color w:val="0000FF"/>
                  <w:sz w:val="26"/>
                  <w:u w:val="single"/>
                  <w:lang w:val="en-US"/>
                </w:rPr>
                <w:t>Q</w:t>
              </w:r>
            </w:hyperlink>
          </w:p>
        </w:tc>
        <w:tc>
          <w:tcPr>
            <w:tcW w:w="0" w:type="auto"/>
            <w:vAlign w:val="center"/>
            <w:hideMark/>
          </w:tcPr>
          <w:p w:rsidR="00FD1EEC" w:rsidRPr="00FD1EEC" w:rsidRDefault="00FD1EEC" w:rsidP="00FD1E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D1EEC" w:rsidRDefault="00FD1EEC" w:rsidP="00FD1EEC">
      <w:pPr>
        <w:pStyle w:val="a3"/>
        <w:rPr>
          <w:rFonts w:ascii="Arial" w:hAnsi="Arial" w:cs="Arial"/>
        </w:rPr>
      </w:pPr>
    </w:p>
    <w:p w:rsidR="00FD1EEC" w:rsidRDefault="00FD1EEC" w:rsidP="00FD1EEC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Сообщаем Вам о том, что с 19.12.2016 года действует новый официальный электронный адрес Уполномоченного по правам ребенка в Ставропольском крае: </w:t>
      </w:r>
      <w:hyperlink r:id="rId9" w:tgtFrame="_blank" w:history="1">
        <w:r>
          <w:rPr>
            <w:rStyle w:val="a4"/>
            <w:rFonts w:ascii="Arial" w:hAnsi="Arial" w:cs="Arial"/>
          </w:rPr>
          <w:t>pr_adamenko@stavkray.ru</w:t>
        </w:r>
      </w:hyperlink>
      <w:r>
        <w:rPr>
          <w:rFonts w:ascii="Arial" w:hAnsi="Arial" w:cs="Arial"/>
        </w:rPr>
        <w:t> </w:t>
      </w: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b/>
          <w:sz w:val="28"/>
          <w:szCs w:val="28"/>
        </w:rPr>
      </w:pPr>
      <w:r>
        <w:rPr>
          <w:rFonts w:ascii="Arial" w:hAnsi="Arial" w:cs="Arial"/>
        </w:rPr>
        <w:lastRenderedPageBreak/>
        <w:t xml:space="preserve">                                     </w:t>
      </w:r>
      <w:r w:rsidRPr="005A135E">
        <w:rPr>
          <w:b/>
          <w:sz w:val="28"/>
          <w:szCs w:val="28"/>
        </w:rPr>
        <w:t>Охрана здоровья</w:t>
      </w:r>
    </w:p>
    <w:p w:rsidR="005A135E" w:rsidRDefault="005A135E" w:rsidP="00FD1EE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ПРИВИВКА- ЗАЛОГ ЗДОРОВЬЯ</w:t>
      </w:r>
    </w:p>
    <w:p w:rsidR="005A135E" w:rsidRDefault="005A135E" w:rsidP="00FD1EEC">
      <w:pPr>
        <w:pStyle w:val="a3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i.mvsosh4.ru/u/fe/d050c8d3d111e8850bb845363aceb4/-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vsosh4.ru/u/fe/d050c8d3d111e8850bb845363aceb4/-/img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Default="005A135E" w:rsidP="00FD1EEC">
      <w:pPr>
        <w:pStyle w:val="a3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8351"/>
            <wp:effectExtent l="19050" t="0" r="3175" b="0"/>
            <wp:docPr id="4" name="Рисунок 4" descr="http://i.mvsosh4.ru/u/d2/39d39ad3d111e8aa71da840ba8d0a3/-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vsosh4.ru/u/d2/39d39ad3d111e8aa71da840ba8d0a3/-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Default="005A135E" w:rsidP="00FD1EEC">
      <w:pPr>
        <w:pStyle w:val="a3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8349" cy="6572250"/>
            <wp:effectExtent l="19050" t="0" r="1" b="0"/>
            <wp:docPr id="7" name="Рисунок 7" descr="http://i.mvsosh4.ru/u/e7/10ee70d3d111e8aa49b23767cf8b08/-/07.10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vsosh4.ru/u/e7/10ee70d3d111e8aa49b23767cf8b08/-/07.10.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70" cy="657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Pr="005A135E" w:rsidRDefault="005A135E" w:rsidP="00FD1EEC">
      <w:pPr>
        <w:pStyle w:val="a3"/>
        <w:rPr>
          <w:b/>
          <w:sz w:val="28"/>
          <w:szCs w:val="28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940425" cy="4199880"/>
            <wp:effectExtent l="19050" t="0" r="3175" b="0"/>
            <wp:docPr id="10" name="Рисунок 10" descr="http://i.mvsosh4.ru/u/ef/3fccf6d3d111e8b1ce99249fe9ea1b/-/59d37eba0d73a98172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vsosh4.ru/u/ef/3fccf6d3d111e8b1ce99249fe9ea1b/-/59d37eba0d73a981728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Default="005A135E" w:rsidP="00FD1EEC">
      <w:pPr>
        <w:pStyle w:val="a3"/>
        <w:rPr>
          <w:rFonts w:ascii="Arial" w:hAnsi="Arial" w:cs="Arial"/>
        </w:rPr>
      </w:pPr>
    </w:p>
    <w:p w:rsidR="005A135E" w:rsidRDefault="005A135E" w:rsidP="00FD1EEC">
      <w:pPr>
        <w:pStyle w:val="a3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40425" cy="2679792"/>
            <wp:effectExtent l="19050" t="0" r="3175" b="0"/>
            <wp:docPr id="16" name="Рисунок 16" descr="http://i.mvsosh4.ru/u/27/4c1096d3d211e89fe0d9cf0e3c5a22/-/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mvsosh4.ru/u/27/4c1096d3d211e89fe0d9cf0e3c5a22/-/q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Default="005A135E" w:rsidP="00FD1EEC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8405023"/>
            <wp:effectExtent l="19050" t="0" r="3175" b="0"/>
            <wp:docPr id="1" name="Рисунок 1" descr="http://i.mvsosh4.ru/u/3a/2f30b2d3d211e8b663bdc0779c1b81/-/vacc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vsosh4.ru/u/3a/2f30b2d3d211e8b663bdc0779c1b81/-/vaccinati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Default="005A135E" w:rsidP="00FD1EEC">
      <w:pPr>
        <w:pStyle w:val="a3"/>
      </w:pPr>
    </w:p>
    <w:p w:rsidR="005A135E" w:rsidRDefault="005A135E" w:rsidP="00FD1EEC">
      <w:pPr>
        <w:pStyle w:val="a3"/>
      </w:pPr>
    </w:p>
    <w:p w:rsidR="005A135E" w:rsidRDefault="005A135E" w:rsidP="005A135E">
      <w:pPr>
        <w:pStyle w:val="1"/>
      </w:pPr>
      <w:r>
        <w:lastRenderedPageBreak/>
        <w:t>Правила безопасности для детей</w:t>
      </w:r>
    </w:p>
    <w:p w:rsidR="005A135E" w:rsidRDefault="005A135E" w:rsidP="00FD1EEC">
      <w:pPr>
        <w:pStyle w:val="a3"/>
      </w:pPr>
      <w:r>
        <w:rPr>
          <w:noProof/>
        </w:rPr>
        <w:drawing>
          <wp:inline distT="0" distB="0" distL="0" distR="0">
            <wp:extent cx="5940425" cy="4316090"/>
            <wp:effectExtent l="19050" t="0" r="3175" b="0"/>
            <wp:docPr id="19" name="Рисунок 19" descr="http://i.mvsosh4.ru/u/34/f81d78157b11e78e0aee0e2f5bce01/-/%D0%91%D0%B5%D1%88%D0%B5%D0%BD%D1%81%D1%82%D0%B2%D0%BE%20%D0%BF%D0%BB%D0%B0%D0%BA%D0%B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vsosh4.ru/u/34/f81d78157b11e78e0aee0e2f5bce01/-/%D0%91%D0%B5%D1%88%D0%B5%D0%BD%D1%81%D1%82%D0%B2%D0%BE%20%D0%BF%D0%BB%D0%B0%D0%BA%D0%B0%D1%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Default="005A135E" w:rsidP="00FD1EEC">
      <w:pPr>
        <w:pStyle w:val="a3"/>
      </w:pPr>
      <w:r>
        <w:rPr>
          <w:noProof/>
        </w:rPr>
        <w:drawing>
          <wp:inline distT="0" distB="0" distL="0" distR="0">
            <wp:extent cx="5940425" cy="4316090"/>
            <wp:effectExtent l="19050" t="0" r="3175" b="0"/>
            <wp:docPr id="22" name="Рисунок 22" descr="http://i.mvsosh4.ru/u/4f/9b7ada157b11e7a8e6b80bdcd71c3a/-/%D0%9A%D0%9A%D0%93%D0%9B%20%D0%BF%D0%BB%D0%B0%D0%BA%D0%B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mvsosh4.ru/u/4f/9b7ada157b11e7a8e6b80bdcd71c3a/-/%D0%9A%D0%9A%D0%93%D0%9B%20%D0%BF%D0%BB%D0%B0%D0%BA%D0%B0%D1%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E" w:rsidRPr="005A135E" w:rsidRDefault="005A135E" w:rsidP="005A13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Все о туберкулезе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туберкулёз?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Туберкулёз - инфекционное заболевание, вызываемое микобактериями туберкулёза (туберкулёзной палочкой), сопровождающееся, как правило, поражением лёгких, а также костей, суставов, глаз, кожи, мочеполовых органов.</w:t>
      </w:r>
      <w:proofErr w:type="gramEnd"/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часто встречается туберкулёз?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 часть населения мира инфицирована микобактерией туберкулёза, ежегодно почти 10 </w:t>
      </w:r>
      <w:proofErr w:type="spellStart"/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заболевают формами туберкулёза, сопровождающимися выделением возбудителя в окружающую среду («открытые» формы), и ещё приблизительно столько же — формами без выделения возбудителя («закрытыми»). В России заболеваемость туберкулёзом составляет 88 на 100 тыс. населения в год.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возникает туберкулёз?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Возбудитель туберкулёза попадает в организм человека при вдыхании капель мокроты, выделяемой больным человеком при кашле и чиханье, а также инфицированной пыли, на которой туберкулёзные бактерии могут сохраняться месяцами; реже — при употреблении в пищу молока от коровы, заболевшей туберкулёзным маститом. Дальнейшие события во многом зависят от возможностей иммунитета противостоять инфекции: заболевание может не возникнуть совсем, либо возникнуть в лёгкой форме, либо быстро прогрессировать до тяжёлых стадий. Ослаблению иммунитета способствуют плохое питание, низкий уровень жилищно-бытовых условий, сопутствующие заболевания (сахарный диабет, онкологические болезни, хроническая почечная недостаточность и, особенно, ВИЧ-инфекция), пожилой возраст, длительный приём </w:t>
      </w:r>
      <w:proofErr w:type="spell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глюкокортикоидов</w:t>
      </w:r>
      <w:proofErr w:type="spell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цитостатиков</w:t>
      </w:r>
      <w:proofErr w:type="spell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алкоголизм. В среднем заболевает 1 из 20 людей, в организм которых попал возбудитель. Разумеется, вероятность заболеть тем выше, чем чаще происходит контакт с возбудителем, то есть у лиц, длительное время находящихся рядом с больными туберкулёзом. Возможно также «отсроченное» заболевание, когда при ослаблении ранее достаточно сильного иммунитета становятся активными ранее заблокированные возбудители.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Опасен ли туберкулёз?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Туберкулёз опасен в запущенной форме. Этим обусловлена важность профилактических мероприятий и выявления заболевания на ранних стадиях. В настоящее время Россия относится к неблагополучным регионам мира по туберкулёзу. Несмотря на </w:t>
      </w: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среди больных туберкулёзом преобладают лица без определённого места жительства и заключённые, пренебрегать методами профилактики не следует никому. 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проявляется туберкулез?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ранней стадии туберкулёза симптомы могут быть выражены минимально (слабость, утомляемость, плохой аппетит), либо вообще отсутствовать. Отсюда очевидна важность профилактических диагностических мероприятий (</w:t>
      </w: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ниже), которыми ни в коем случае нельзя пренебрегать.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мере развития лёгочного процесса возникают кашель (сначала сухой, затем с мокротой), одышка (что связано либо с появлением жидкости в пространстве между лёгким и грудной стенкой, либо с поражением </w:t>
      </w: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существенной части лёгкого), лихорадка, проливные поты, слабость, снижение массы тела, реже — боли в грудной клетке.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 развитие туберкулёзного поражения почек, половых органов, позвоночника, суставов, а также мозговых оболочек (менингита), хотя частота </w:t>
      </w:r>
      <w:proofErr w:type="spell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внелёгочного</w:t>
      </w:r>
      <w:proofErr w:type="spell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туберкулёза значительно ниже, чем лёгочного.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диагностируют туберкулёз?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метод диагностики — рентгенологические исследования. Важно понимать разницу между различными видами этих исследований. Флюорография уместна только для массовых обследований, то есть выявления изменений в лёгких, подозрительных на туберкулёз. Большей точностью обладают обзорная рентгенография органов грудной клетки и простая томография, ещё большей — компьютерная томография. Таким образом, одному и тому же пациенту иногда приходится проводить 2–3 вида рентгенологических исследований.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важен лабораторный анализ мокроты для обнаружения возбудителя, поскольку от этого зависит, опасен ли больной для окружающих, или нет.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занимают методы </w:t>
      </w:r>
      <w:proofErr w:type="spell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туберкулинодиагностики</w:t>
      </w:r>
      <w:proofErr w:type="spell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реакция Манту. В ответ на внутрикожное введение 2 </w:t>
      </w: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туберкулина (очищенного белка клеточной стенки бактерии туберкулёза) возникает воспалительная реакция, которую измеряют в мм. Отсутствие реакции у здорового человека означает, что у него не было контакта с инфекцией; отсутствие реакции у больного человека свидетельствует о нарушениях у него иммунного ответа на микобактерию туберкулёза (необходимо дальнейшее обследование). Положительной реакция Манту считается при размере воспалительной припухлости более 5 мм. Проба может быть положительной как у лиц, не болеющих туберкулёзом (в частности, после прививки от туберкулёза), так и у больных. Для уточнения проводят повторные пробы, рентгенологические исследования.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подозрении на </w:t>
      </w:r>
      <w:proofErr w:type="spell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внелёгочные</w:t>
      </w:r>
      <w:proofErr w:type="spell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заболевания необходимы дополнительные исследования, выбор которых зависит от предполагаемой локализации туберкулёзного процесса.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существуют методы лечения и профилактики туберкулёза?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Туберкулёз лечат только в специализированных противотуберкулёзных диспансерах. Амбулаторным будет лечение или стационарным, зависит от формы заболевания и других факторов (в том числе от состояния пациента, наличия или отсутствия </w:t>
      </w:r>
      <w:proofErr w:type="spell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бацилловыделения</w:t>
      </w:r>
      <w:proofErr w:type="spell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пр.). Всех больных с впервые выявленным туберкулёзом лёгких госпитализируют. Лечение всегда комбинированное (одновременно используют 2–4 противотуберкулёзных препарата) и длительное (не менее 6 </w:t>
      </w:r>
      <w:proofErr w:type="spellStart"/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proofErr w:type="spellEnd"/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Успех лечения во многом зависит от аккуратности выполнения врачебных рекомендаций. Уменьшение доз препаратов и времени их приёма делают лечение </w:t>
      </w: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неэффективным</w:t>
      </w:r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способствует развитию устойчивости возбудителя.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следует подчеркнуть, что прочие виды лечения, в том числе из арсенала народной медицины и </w:t>
      </w:r>
      <w:proofErr w:type="spell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фитотерапии</w:t>
      </w:r>
      <w:proofErr w:type="spell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имеют только вспомогательное значение и ни при каких условиях не могут заменить противотуберкулёзные препараты.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Какие мероприятия необходимы для профилактики туберкулёза?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неспецифической профилактики очевидны. Во-первых, следует избегать </w:t>
      </w: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близко</w:t>
      </w:r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находиться от кашляющих людей. В тех </w:t>
      </w: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</w:t>
      </w:r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это неизбежно (например, больной туберкулёзом живет с Вами под одной крышей), следует чаще проветривать помещение и проводить в нём уборку. При появлении признаков недомогания обращайтесь к врачу; даже при постоянно хорошем самочувствии не пренебрегайте ежегодной флюорографией. Важно укреплять иммунитет: полезно находиться на свежем воздухе, заниматься физкультурой, полноценно питаться.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 вакцинация БЦЖ включена в Национальный календарь прививок. Вакцину вводят </w:t>
      </w:r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дни жизни ребёнка, поскольку вероятность раннего контакта с опасной туберкулёзной бактерией очень велика. Ни в коем случае не отказывайтесь от вакцинации: другого надёжного способа защитить ребёнка от туберкулёза не существует. В некоторых случаях показан профилактический приём противотуберкулёзного препарата в течение 3–12 </w:t>
      </w:r>
      <w:proofErr w:type="spellStart"/>
      <w:proofErr w:type="gramStart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proofErr w:type="spellEnd"/>
      <w:proofErr w:type="gramEnd"/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(преимущественно лицам, постоянно контактирующим с больными туберкулёзом, и пациентам с иммунодефицитом, в частности с ВИЧ-инфекцией).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по профилактике и лечению туберкулёза в нашей стране бесплатны.</w:t>
      </w:r>
    </w:p>
    <w:p w:rsidR="005A135E" w:rsidRPr="005A135E" w:rsidRDefault="005A135E" w:rsidP="005A1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A135E" w:rsidRPr="005A135E" w:rsidRDefault="005A135E" w:rsidP="005A135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65941" w:rsidRPr="005A135E" w:rsidRDefault="00CC2488" w:rsidP="005A13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86019"/>
            <wp:effectExtent l="19050" t="0" r="3175" b="0"/>
            <wp:docPr id="25" name="Рисунок 25" descr="http://i.mvsosh4.ru/u/a0/2e6404d92411e7baffc0279d22a7a1/-/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mvsosh4.ru/u/a0/2e6404d92411e7baffc0279d22a7a1/-/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941" w:rsidRPr="005A135E" w:rsidSect="005A135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EEC"/>
    <w:rsid w:val="000B5E8C"/>
    <w:rsid w:val="00295BDB"/>
    <w:rsid w:val="003222B6"/>
    <w:rsid w:val="00387851"/>
    <w:rsid w:val="00533C12"/>
    <w:rsid w:val="005A135E"/>
    <w:rsid w:val="00B52033"/>
    <w:rsid w:val="00CC2488"/>
    <w:rsid w:val="00DA62BF"/>
    <w:rsid w:val="00E90D52"/>
    <w:rsid w:val="00F32353"/>
    <w:rsid w:val="00F65941"/>
    <w:rsid w:val="00FD1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41"/>
  </w:style>
  <w:style w:type="paragraph" w:styleId="1">
    <w:name w:val="heading 1"/>
    <w:basedOn w:val="a"/>
    <w:link w:val="10"/>
    <w:uiPriority w:val="9"/>
    <w:qFormat/>
    <w:rsid w:val="00FD1E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1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1E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D1E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35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A13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3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9TwYchPS4Q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wKvcXpOFxo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vqVqiiDCqw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26206s008.edusite.ru/DswMedia/plantestirovaniya.doc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hyperlink" Target="http://26206s008.edusite.ru/DswMedia/omeraxpovyiyavleniyunezakonnogopotrebleniyanarkoticheskix.docx" TargetMode="External"/><Relationship Id="rId9" Type="http://schemas.openxmlformats.org/officeDocument/2006/relationships/hyperlink" Target="https://e.mail.ru/compose/?mailto=mailto%3apr_adamenko@stavkray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2018-10-24T07:27:00Z</dcterms:created>
  <dcterms:modified xsi:type="dcterms:W3CDTF">2018-10-24T09:17:00Z</dcterms:modified>
</cp:coreProperties>
</file>